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095D09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095D09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F92606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</w:t>
      </w:r>
      <w:r w:rsidR="00D910BC">
        <w:rPr>
          <w:sz w:val="28"/>
          <w:szCs w:val="28"/>
        </w:rPr>
        <w:t>4</w:t>
      </w:r>
      <w:r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7C6C03">
        <w:rPr>
          <w:sz w:val="28"/>
          <w:szCs w:val="28"/>
        </w:rPr>
        <w:t>2</w:t>
      </w:r>
      <w:r w:rsidR="00D910BC">
        <w:rPr>
          <w:sz w:val="28"/>
          <w:szCs w:val="28"/>
        </w:rPr>
        <w:t>4</w:t>
      </w:r>
      <w:r w:rsidR="00E86D5A">
        <w:rPr>
          <w:sz w:val="28"/>
          <w:szCs w:val="28"/>
        </w:rPr>
        <w:t xml:space="preserve">                                     </w:t>
      </w:r>
      <w:r w:rsidR="0096530E">
        <w:rPr>
          <w:sz w:val="28"/>
          <w:szCs w:val="28"/>
        </w:rPr>
        <w:t>с</w:t>
      </w:r>
      <w:r w:rsidR="00095D09">
        <w:rPr>
          <w:sz w:val="28"/>
          <w:szCs w:val="28"/>
        </w:rPr>
        <w:t xml:space="preserve">. </w:t>
      </w:r>
      <w:r w:rsidR="00095D09" w:rsidRPr="00830AC8">
        <w:rPr>
          <w:sz w:val="28"/>
        </w:rPr>
        <w:t>Каировка</w:t>
      </w:r>
      <w:r w:rsidR="00E86D5A">
        <w:rPr>
          <w:sz w:val="28"/>
        </w:rPr>
        <w:t xml:space="preserve">                                     </w:t>
      </w:r>
      <w:r w:rsidR="00BA3DAB">
        <w:rPr>
          <w:sz w:val="28"/>
          <w:szCs w:val="28"/>
        </w:rPr>
        <w:t xml:space="preserve">   №</w:t>
      </w:r>
      <w:r w:rsidR="00D910BC">
        <w:rPr>
          <w:sz w:val="28"/>
          <w:szCs w:val="28"/>
        </w:rPr>
        <w:t>68</w:t>
      </w:r>
      <w:r w:rsidR="00067B5C">
        <w:rPr>
          <w:sz w:val="28"/>
          <w:szCs w:val="28"/>
        </w:rPr>
        <w:t>-п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5033B" w:rsidRDefault="0045033B" w:rsidP="0045033B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формирования местного бюджета</w:t>
      </w:r>
    </w:p>
    <w:p w:rsidR="0045033B" w:rsidRDefault="0045033B" w:rsidP="0045033B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910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10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10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45033B" w:rsidRPr="008E5B18" w:rsidRDefault="0045033B" w:rsidP="0045033B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5033B" w:rsidRPr="008E5B18" w:rsidRDefault="0045033B" w:rsidP="0045033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>В целях подготовки проекта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10BC">
        <w:rPr>
          <w:rFonts w:ascii="Times New Roman" w:hAnsi="Times New Roman" w:cs="Times New Roman"/>
          <w:sz w:val="28"/>
          <w:szCs w:val="28"/>
        </w:rPr>
        <w:t>5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на плановый пе</w:t>
      </w:r>
      <w:r>
        <w:rPr>
          <w:rFonts w:ascii="Times New Roman" w:hAnsi="Times New Roman" w:cs="Times New Roman"/>
          <w:sz w:val="28"/>
          <w:szCs w:val="28"/>
        </w:rPr>
        <w:t>риод 202</w:t>
      </w:r>
      <w:r w:rsidR="00D910BC">
        <w:rPr>
          <w:rFonts w:ascii="Times New Roman" w:hAnsi="Times New Roman" w:cs="Times New Roman"/>
          <w:sz w:val="28"/>
          <w:szCs w:val="28"/>
        </w:rPr>
        <w:t>6</w:t>
      </w:r>
      <w:r w:rsidRPr="008E5B18">
        <w:rPr>
          <w:rFonts w:ascii="Times New Roman" w:hAnsi="Times New Roman" w:cs="Times New Roman"/>
          <w:sz w:val="28"/>
          <w:szCs w:val="28"/>
        </w:rPr>
        <w:t xml:space="preserve"> и 202</w:t>
      </w:r>
      <w:r w:rsidR="00D910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E5B18">
        <w:rPr>
          <w:rFonts w:ascii="Times New Roman" w:hAnsi="Times New Roman" w:cs="Times New Roman"/>
          <w:sz w:val="28"/>
          <w:szCs w:val="28"/>
        </w:rPr>
        <w:t>:</w:t>
      </w:r>
    </w:p>
    <w:p w:rsidR="0045033B" w:rsidRDefault="0045033B" w:rsidP="0045033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33B" w:rsidRPr="008E5B18" w:rsidRDefault="0045033B" w:rsidP="0045033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33B" w:rsidRPr="008E5B18" w:rsidRDefault="0045033B" w:rsidP="0045033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18">
        <w:rPr>
          <w:rFonts w:ascii="Times New Roman" w:hAnsi="Times New Roman" w:cs="Times New Roman"/>
          <w:sz w:val="28"/>
          <w:szCs w:val="28"/>
        </w:rPr>
        <w:t xml:space="preserve">  1. Утвердить методику формирования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10BC">
        <w:rPr>
          <w:rFonts w:ascii="Times New Roman" w:hAnsi="Times New Roman" w:cs="Times New Roman"/>
          <w:sz w:val="28"/>
          <w:szCs w:val="28"/>
        </w:rPr>
        <w:t>5</w:t>
      </w:r>
      <w:r w:rsidRPr="008E5B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10BC">
        <w:rPr>
          <w:rFonts w:ascii="Times New Roman" w:hAnsi="Times New Roman" w:cs="Times New Roman"/>
          <w:sz w:val="28"/>
          <w:szCs w:val="28"/>
        </w:rPr>
        <w:t>6</w:t>
      </w:r>
      <w:r w:rsidRPr="008E5B18">
        <w:rPr>
          <w:rFonts w:ascii="Times New Roman" w:hAnsi="Times New Roman" w:cs="Times New Roman"/>
          <w:sz w:val="28"/>
          <w:szCs w:val="28"/>
        </w:rPr>
        <w:t xml:space="preserve"> и 202</w:t>
      </w:r>
      <w:r w:rsidR="00D910BC">
        <w:rPr>
          <w:rFonts w:ascii="Times New Roman" w:hAnsi="Times New Roman" w:cs="Times New Roman"/>
          <w:sz w:val="28"/>
          <w:szCs w:val="28"/>
        </w:rPr>
        <w:t>7</w:t>
      </w:r>
      <w:r w:rsidR="00F92AE0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92AE0">
        <w:rPr>
          <w:rFonts w:ascii="Times New Roman" w:hAnsi="Times New Roman" w:cs="Times New Roman"/>
          <w:sz w:val="28"/>
          <w:szCs w:val="28"/>
        </w:rPr>
        <w:t>я.</w:t>
      </w:r>
    </w:p>
    <w:p w:rsidR="0045033B" w:rsidRPr="008E5B18" w:rsidRDefault="0045033B" w:rsidP="0045033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2. Контроль за </w:t>
      </w:r>
      <w:r>
        <w:rPr>
          <w:sz w:val="28"/>
          <w:szCs w:val="28"/>
        </w:rPr>
        <w:t>выполнением</w:t>
      </w:r>
      <w:r w:rsidRPr="008E5B1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8E5B18">
        <w:rPr>
          <w:sz w:val="28"/>
          <w:szCs w:val="28"/>
        </w:rPr>
        <w:t xml:space="preserve"> оставляю за собой</w:t>
      </w:r>
      <w:bookmarkStart w:id="0" w:name="sub_4"/>
      <w:r w:rsidRPr="008E5B18">
        <w:rPr>
          <w:sz w:val="28"/>
          <w:szCs w:val="28"/>
        </w:rPr>
        <w:t xml:space="preserve">. </w:t>
      </w:r>
    </w:p>
    <w:p w:rsidR="0045033B" w:rsidRPr="008E5B18" w:rsidRDefault="0045033B" w:rsidP="0045033B">
      <w:pPr>
        <w:ind w:firstLine="709"/>
        <w:jc w:val="both"/>
        <w:rPr>
          <w:sz w:val="28"/>
          <w:szCs w:val="28"/>
        </w:rPr>
      </w:pPr>
      <w:r w:rsidRPr="008E5B18">
        <w:rPr>
          <w:sz w:val="28"/>
          <w:szCs w:val="28"/>
        </w:rPr>
        <w:t xml:space="preserve">3. </w:t>
      </w:r>
      <w:bookmarkStart w:id="1" w:name="sub_5"/>
      <w:bookmarkEnd w:id="0"/>
      <w:r w:rsidR="007F72AD">
        <w:rPr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7F72AD" w:rsidRPr="00FD0DB1">
        <w:rPr>
          <w:sz w:val="28"/>
          <w:szCs w:val="28"/>
        </w:rPr>
        <w:t>размещени</w:t>
      </w:r>
      <w:r w:rsidR="007F72AD">
        <w:rPr>
          <w:sz w:val="28"/>
          <w:szCs w:val="28"/>
        </w:rPr>
        <w:t>ю на официальном сайте администрации Каировского сельсовета</w:t>
      </w:r>
      <w:r w:rsidRPr="008E5B18">
        <w:rPr>
          <w:sz w:val="28"/>
          <w:szCs w:val="28"/>
        </w:rPr>
        <w:t>.</w:t>
      </w:r>
      <w:bookmarkStart w:id="2" w:name="_GoBack"/>
      <w:bookmarkEnd w:id="2"/>
    </w:p>
    <w:bookmarkEnd w:id="1"/>
    <w:p w:rsidR="0045033B" w:rsidRDefault="0045033B" w:rsidP="0045033B">
      <w:pPr>
        <w:rPr>
          <w:sz w:val="28"/>
          <w:szCs w:val="28"/>
        </w:rPr>
      </w:pPr>
    </w:p>
    <w:p w:rsidR="0045033B" w:rsidRDefault="0045033B" w:rsidP="0045033B">
      <w:pPr>
        <w:ind w:right="-5"/>
        <w:rPr>
          <w:sz w:val="28"/>
          <w:szCs w:val="28"/>
        </w:rPr>
      </w:pPr>
    </w:p>
    <w:p w:rsidR="0045033B" w:rsidRPr="00D5579B" w:rsidRDefault="0099201D" w:rsidP="0045033B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4503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86D5A">
        <w:rPr>
          <w:sz w:val="28"/>
          <w:szCs w:val="28"/>
        </w:rPr>
        <w:t xml:space="preserve"> </w:t>
      </w:r>
      <w:r w:rsidR="0045033B">
        <w:rPr>
          <w:sz w:val="28"/>
          <w:szCs w:val="28"/>
        </w:rPr>
        <w:t xml:space="preserve">сельсовета         </w:t>
      </w:r>
      <w:r w:rsidR="00E86D5A">
        <w:rPr>
          <w:sz w:val="28"/>
          <w:szCs w:val="28"/>
        </w:rPr>
        <w:t xml:space="preserve">                                </w:t>
      </w:r>
      <w:r w:rsidR="0045033B">
        <w:rPr>
          <w:sz w:val="28"/>
          <w:szCs w:val="28"/>
        </w:rPr>
        <w:t xml:space="preserve">                           </w:t>
      </w:r>
      <w:r w:rsidR="00E56B11">
        <w:rPr>
          <w:sz w:val="28"/>
          <w:szCs w:val="28"/>
        </w:rPr>
        <w:t>А.Н.</w:t>
      </w:r>
      <w:r w:rsidR="00095D09">
        <w:rPr>
          <w:sz w:val="28"/>
          <w:szCs w:val="28"/>
        </w:rPr>
        <w:t xml:space="preserve">Логвиненко </w:t>
      </w:r>
    </w:p>
    <w:p w:rsidR="0045033B" w:rsidRDefault="0045033B" w:rsidP="004503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5D09" w:rsidRPr="00535542" w:rsidRDefault="00095D09" w:rsidP="0045033B">
      <w:pPr>
        <w:rPr>
          <w:sz w:val="28"/>
          <w:szCs w:val="28"/>
        </w:rPr>
      </w:pPr>
    </w:p>
    <w:p w:rsidR="0045033B" w:rsidRPr="00F92606" w:rsidRDefault="0045033B" w:rsidP="0045033B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45033B" w:rsidRDefault="0045033B" w:rsidP="0045033B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E86D5A" w:rsidRDefault="00E86D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033B" w:rsidRPr="0045033B" w:rsidRDefault="0045033B" w:rsidP="0045033B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5033B" w:rsidRPr="0045033B" w:rsidRDefault="0045033B" w:rsidP="0045033B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45033B" w:rsidRDefault="00095D09" w:rsidP="0045033B">
      <w:pPr>
        <w:pStyle w:val="af2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Каировск</w:t>
      </w:r>
      <w:r w:rsidR="00E86D5A">
        <w:rPr>
          <w:rFonts w:ascii="Times New Roman" w:hAnsi="Times New Roman"/>
          <w:bCs/>
          <w:sz w:val="28"/>
          <w:szCs w:val="28"/>
        </w:rPr>
        <w:t>ого</w:t>
      </w:r>
      <w:r w:rsidR="0045033B" w:rsidRPr="0045033B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E86D5A">
        <w:rPr>
          <w:rFonts w:ascii="Times New Roman" w:hAnsi="Times New Roman"/>
          <w:bCs/>
          <w:sz w:val="28"/>
          <w:szCs w:val="28"/>
        </w:rPr>
        <w:t>а</w:t>
      </w:r>
    </w:p>
    <w:p w:rsidR="00E86D5A" w:rsidRDefault="00E86D5A" w:rsidP="0045033B">
      <w:pPr>
        <w:pStyle w:val="af2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Саракташского района </w:t>
      </w:r>
    </w:p>
    <w:p w:rsidR="00E86D5A" w:rsidRPr="0045033B" w:rsidRDefault="00E86D5A" w:rsidP="0045033B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:rsidR="0045033B" w:rsidRPr="00067B5C" w:rsidRDefault="0045033B" w:rsidP="00067B5C">
      <w:pPr>
        <w:pStyle w:val="af2"/>
        <w:contextualSpacing/>
        <w:jc w:val="right"/>
        <w:rPr>
          <w:rFonts w:ascii="Times New Roman" w:hAnsi="Times New Roman"/>
          <w:sz w:val="28"/>
          <w:szCs w:val="28"/>
        </w:rPr>
      </w:pPr>
      <w:r w:rsidRPr="0045033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D910BC">
        <w:rPr>
          <w:rFonts w:ascii="Times New Roman" w:hAnsi="Times New Roman"/>
          <w:sz w:val="28"/>
          <w:szCs w:val="28"/>
        </w:rPr>
        <w:t>4</w:t>
      </w:r>
      <w:r w:rsidRPr="0045033B">
        <w:rPr>
          <w:rFonts w:ascii="Times New Roman" w:hAnsi="Times New Roman"/>
          <w:sz w:val="28"/>
          <w:szCs w:val="28"/>
        </w:rPr>
        <w:t>.11.20</w:t>
      </w:r>
      <w:r w:rsidR="005E7441">
        <w:rPr>
          <w:rFonts w:ascii="Times New Roman" w:hAnsi="Times New Roman"/>
          <w:sz w:val="28"/>
          <w:szCs w:val="28"/>
        </w:rPr>
        <w:t>2</w:t>
      </w:r>
      <w:r w:rsidR="00D910BC">
        <w:rPr>
          <w:rFonts w:ascii="Times New Roman" w:hAnsi="Times New Roman"/>
          <w:sz w:val="28"/>
          <w:szCs w:val="28"/>
        </w:rPr>
        <w:t>4</w:t>
      </w:r>
      <w:r w:rsidR="00E86D5A">
        <w:rPr>
          <w:rFonts w:ascii="Times New Roman" w:hAnsi="Times New Roman"/>
          <w:sz w:val="28"/>
          <w:szCs w:val="28"/>
        </w:rPr>
        <w:t xml:space="preserve"> </w:t>
      </w:r>
      <w:r w:rsidRPr="0045033B">
        <w:rPr>
          <w:rFonts w:ascii="Times New Roman" w:hAnsi="Times New Roman"/>
          <w:sz w:val="28"/>
          <w:szCs w:val="28"/>
        </w:rPr>
        <w:t xml:space="preserve"> </w:t>
      </w:r>
      <w:r w:rsidR="005E7441">
        <w:rPr>
          <w:rFonts w:ascii="Times New Roman" w:hAnsi="Times New Roman"/>
          <w:sz w:val="28"/>
          <w:szCs w:val="28"/>
        </w:rPr>
        <w:t>№</w:t>
      </w:r>
      <w:r w:rsidR="00D910BC">
        <w:rPr>
          <w:rFonts w:ascii="Times New Roman" w:hAnsi="Times New Roman"/>
          <w:sz w:val="28"/>
          <w:szCs w:val="28"/>
        </w:rPr>
        <w:t>68</w:t>
      </w:r>
      <w:r w:rsidR="00067B5C" w:rsidRPr="00067B5C">
        <w:rPr>
          <w:rFonts w:ascii="Times New Roman" w:hAnsi="Times New Roman"/>
          <w:sz w:val="28"/>
          <w:szCs w:val="28"/>
        </w:rPr>
        <w:t>-п</w:t>
      </w:r>
    </w:p>
    <w:p w:rsidR="0045033B" w:rsidRPr="0045033B" w:rsidRDefault="0045033B" w:rsidP="0045033B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45033B" w:rsidRPr="00E86D5A" w:rsidRDefault="0045033B" w:rsidP="0045033B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E86D5A">
        <w:rPr>
          <w:rFonts w:ascii="Times New Roman" w:hAnsi="Times New Roman"/>
          <w:sz w:val="28"/>
          <w:szCs w:val="28"/>
        </w:rPr>
        <w:t>Методика</w:t>
      </w:r>
    </w:p>
    <w:p w:rsidR="0045033B" w:rsidRPr="00E86D5A" w:rsidRDefault="0045033B" w:rsidP="0045033B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E86D5A">
        <w:rPr>
          <w:rFonts w:ascii="Times New Roman" w:hAnsi="Times New Roman"/>
          <w:sz w:val="28"/>
          <w:szCs w:val="28"/>
        </w:rPr>
        <w:t>формирования местного бюджета на 202</w:t>
      </w:r>
      <w:r w:rsidR="00D910BC" w:rsidRPr="00E86D5A">
        <w:rPr>
          <w:rFonts w:ascii="Times New Roman" w:hAnsi="Times New Roman"/>
          <w:sz w:val="28"/>
          <w:szCs w:val="28"/>
        </w:rPr>
        <w:t>5</w:t>
      </w:r>
      <w:r w:rsidRPr="00E86D5A">
        <w:rPr>
          <w:rFonts w:ascii="Times New Roman" w:hAnsi="Times New Roman"/>
          <w:sz w:val="28"/>
          <w:szCs w:val="28"/>
        </w:rPr>
        <w:t xml:space="preserve"> год</w:t>
      </w:r>
    </w:p>
    <w:p w:rsidR="0045033B" w:rsidRPr="00E86D5A" w:rsidRDefault="0045033B" w:rsidP="0045033B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E86D5A">
        <w:rPr>
          <w:rFonts w:ascii="Times New Roman" w:hAnsi="Times New Roman"/>
          <w:sz w:val="28"/>
          <w:szCs w:val="28"/>
        </w:rPr>
        <w:t>и на плановый период 202</w:t>
      </w:r>
      <w:r w:rsidR="00D910BC" w:rsidRPr="00E86D5A">
        <w:rPr>
          <w:rFonts w:ascii="Times New Roman" w:hAnsi="Times New Roman"/>
          <w:sz w:val="28"/>
          <w:szCs w:val="28"/>
        </w:rPr>
        <w:t>6</w:t>
      </w:r>
      <w:r w:rsidRPr="00E86D5A">
        <w:rPr>
          <w:rFonts w:ascii="Times New Roman" w:hAnsi="Times New Roman"/>
          <w:sz w:val="28"/>
          <w:szCs w:val="28"/>
        </w:rPr>
        <w:t xml:space="preserve"> и 202</w:t>
      </w:r>
      <w:r w:rsidR="00D910BC" w:rsidRPr="00E86D5A">
        <w:rPr>
          <w:rFonts w:ascii="Times New Roman" w:hAnsi="Times New Roman"/>
          <w:sz w:val="28"/>
          <w:szCs w:val="28"/>
        </w:rPr>
        <w:t>7</w:t>
      </w:r>
      <w:r w:rsidRPr="00E86D5A">
        <w:rPr>
          <w:rFonts w:ascii="Times New Roman" w:hAnsi="Times New Roman"/>
          <w:sz w:val="28"/>
          <w:szCs w:val="28"/>
        </w:rPr>
        <w:t xml:space="preserve"> годов</w:t>
      </w:r>
    </w:p>
    <w:p w:rsidR="0045033B" w:rsidRPr="0045033B" w:rsidRDefault="0045033B" w:rsidP="0045033B">
      <w:pPr>
        <w:ind w:firstLine="851"/>
        <w:jc w:val="center"/>
        <w:rPr>
          <w:b/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Настоящая Методика устанавливает основные подходы к формированию доходов и расходов бюджета на 202</w:t>
      </w:r>
      <w:r w:rsidR="00D910BC"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Pr="00E56B11">
        <w:rPr>
          <w:sz w:val="28"/>
          <w:szCs w:val="28"/>
        </w:rPr>
        <w:t>-202</w:t>
      </w:r>
      <w:r w:rsidR="00D910BC">
        <w:rPr>
          <w:sz w:val="28"/>
          <w:szCs w:val="28"/>
        </w:rPr>
        <w:t>7</w:t>
      </w:r>
      <w:r w:rsidRPr="00E56B11">
        <w:rPr>
          <w:sz w:val="28"/>
          <w:szCs w:val="28"/>
        </w:rPr>
        <w:t xml:space="preserve"> годов. Методика включает в себя разделы, определяющие </w:t>
      </w:r>
      <w:r w:rsidR="00D910BC">
        <w:rPr>
          <w:sz w:val="28"/>
          <w:szCs w:val="28"/>
        </w:rPr>
        <w:t>порядок прогнозирования доходов</w:t>
      </w:r>
      <w:r w:rsidRPr="00E56B11">
        <w:rPr>
          <w:sz w:val="28"/>
          <w:szCs w:val="28"/>
        </w:rPr>
        <w:t xml:space="preserve"> и расходов бюджета по направлениям предоставления бюджетных услуг.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r w:rsidRPr="00E56B11">
          <w:rPr>
            <w:sz w:val="28"/>
            <w:szCs w:val="28"/>
            <w:lang w:val="en-US"/>
          </w:rPr>
          <w:t>I</w:t>
        </w:r>
        <w:r w:rsidRPr="00E56B11">
          <w:rPr>
            <w:sz w:val="28"/>
            <w:szCs w:val="28"/>
          </w:rPr>
          <w:t>.</w:t>
        </w:r>
      </w:smartTag>
      <w:r w:rsidRPr="00E56B11">
        <w:rPr>
          <w:sz w:val="28"/>
          <w:szCs w:val="28"/>
        </w:rPr>
        <w:t xml:space="preserve"> Прогноз доходов бюджета.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1. Налог на доходы физических лиц рассчитывается исходя из прогнозируемого фонда оплаты труда на 202</w:t>
      </w:r>
      <w:r w:rsidR="00D910BC"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Pr="00E56B11">
        <w:rPr>
          <w:sz w:val="28"/>
          <w:szCs w:val="28"/>
        </w:rPr>
        <w:t xml:space="preserve"> годов, за исключением сумм налоговых вычетов, не подлежащих налогообложению. При прогнозировании налога учтен налог на доходы физических лиц, перечисленный налоговыми агентами по иным налоговым ставкам (отчет Управления Федеральной налоговой службы  формы № 5-НДФЛ за 202</w:t>
      </w:r>
      <w:r>
        <w:rPr>
          <w:sz w:val="28"/>
          <w:szCs w:val="28"/>
        </w:rPr>
        <w:t>2</w:t>
      </w:r>
      <w:r w:rsidRPr="00E56B11">
        <w:rPr>
          <w:sz w:val="28"/>
          <w:szCs w:val="28"/>
        </w:rPr>
        <w:t xml:space="preserve"> год), а также сумма налога, подлежащая возврату из бюджета, по предоставленным актуальным декларациям налогоплательщиков  (отчет Управления Федеральной налоговой службы по Оренбургской области формы № 5-ДДК за 202</w:t>
      </w:r>
      <w:r>
        <w:rPr>
          <w:sz w:val="28"/>
          <w:szCs w:val="28"/>
        </w:rPr>
        <w:t>2</w:t>
      </w:r>
      <w:r w:rsidRPr="00E56B11">
        <w:rPr>
          <w:sz w:val="28"/>
          <w:szCs w:val="28"/>
        </w:rPr>
        <w:t xml:space="preserve"> год). Уровень собираемости налога прогнозируется в размере 100 процентов.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 xml:space="preserve">Сумма налога на доходы физических лиц корректируется на сумму налога, исчисленную от иной облагаемой базы, в том числе в разрезе доходных источников: 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-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 на 202</w:t>
      </w:r>
      <w:r w:rsidR="00D910BC"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 прогнозируются исходя из фактических поступлений за 202</w:t>
      </w:r>
      <w:r w:rsidR="00D910BC">
        <w:rPr>
          <w:sz w:val="28"/>
          <w:szCs w:val="28"/>
        </w:rPr>
        <w:t>4</w:t>
      </w:r>
      <w:r w:rsidRPr="00E56B11">
        <w:rPr>
          <w:sz w:val="28"/>
          <w:szCs w:val="28"/>
        </w:rPr>
        <w:t xml:space="preserve"> год с учетом темпа роста прочих доходов населения;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- по налогу на доходы физических лиц с доходов, полученных физическими лицами, в соответствии со статьей 228 Налогового Кодекса Российской Федерации на 202</w:t>
      </w:r>
      <w:r w:rsidR="00D910BC"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Pr="00E56B11">
        <w:rPr>
          <w:sz w:val="28"/>
          <w:szCs w:val="28"/>
        </w:rPr>
        <w:t>-202</w:t>
      </w:r>
      <w:r w:rsidR="00D910BC">
        <w:rPr>
          <w:sz w:val="28"/>
          <w:szCs w:val="28"/>
        </w:rPr>
        <w:t>7</w:t>
      </w:r>
      <w:r w:rsidRPr="00E56B11">
        <w:rPr>
          <w:sz w:val="28"/>
          <w:szCs w:val="28"/>
        </w:rPr>
        <w:t xml:space="preserve"> годов </w:t>
      </w:r>
      <w:r w:rsidRPr="00E56B11">
        <w:rPr>
          <w:sz w:val="28"/>
          <w:szCs w:val="28"/>
        </w:rPr>
        <w:lastRenderedPageBreak/>
        <w:t>прогнозируется исходя из ожидаемого поступления налога в 202</w:t>
      </w:r>
      <w:r w:rsidR="00D910BC">
        <w:rPr>
          <w:sz w:val="28"/>
          <w:szCs w:val="28"/>
        </w:rPr>
        <w:t>4</w:t>
      </w:r>
      <w:r w:rsidRPr="00E56B11">
        <w:rPr>
          <w:sz w:val="28"/>
          <w:szCs w:val="28"/>
        </w:rPr>
        <w:t xml:space="preserve"> году с учетом темпа роста прочих доходов населения в году, в котором произведено начисление налога. Ожидаемое поступление налога учтено по данным отчета Управления Федеральной налоговой службы  формы № 5-ДДК за 202</w:t>
      </w:r>
      <w:r>
        <w:rPr>
          <w:sz w:val="28"/>
          <w:szCs w:val="28"/>
        </w:rPr>
        <w:t>1</w:t>
      </w:r>
      <w:r w:rsidRPr="00E56B11">
        <w:rPr>
          <w:sz w:val="28"/>
          <w:szCs w:val="28"/>
        </w:rPr>
        <w:t xml:space="preserve"> год. 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2. Доходы от уплаты акцизов на нефтепродукты рассчитываются по следующей формуле: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6B11">
        <w:rPr>
          <w:sz w:val="28"/>
          <w:szCs w:val="28"/>
        </w:rPr>
        <w:t xml:space="preserve">А = П x </w:t>
      </w:r>
      <w:r w:rsidRPr="00E56B11">
        <w:rPr>
          <w:sz w:val="28"/>
          <w:szCs w:val="28"/>
          <w:lang w:val="en-US"/>
        </w:rPr>
        <w:t>N</w:t>
      </w:r>
      <w:r w:rsidRPr="00E56B11">
        <w:rPr>
          <w:sz w:val="28"/>
          <w:szCs w:val="28"/>
        </w:rPr>
        <w:t>, где: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А – доходы от уплаты акцизов на нефтепродукты сельского поселения;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П – прогноз доходов от уплаты акцизов, подлежащий зачислению в местные бюджеты Оренбургской области;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  <w:lang w:val="en-US"/>
        </w:rPr>
        <w:t>N</w:t>
      </w:r>
      <w:r w:rsidRPr="00E56B11">
        <w:rPr>
          <w:sz w:val="28"/>
          <w:szCs w:val="28"/>
        </w:rPr>
        <w:t xml:space="preserve"> –дифференцированный норматив отчислений акцизов в бюджет  сельского поселения, предусмотренный проектом Закона Оренбургской области об областном бюджете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sz w:val="28"/>
          <w:szCs w:val="28"/>
        </w:rPr>
        <w:t>.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3. Единый сельскохозяйственный налог рассчитывается на 202</w:t>
      </w:r>
      <w:r w:rsidR="00D910BC">
        <w:rPr>
          <w:sz w:val="28"/>
          <w:szCs w:val="28"/>
        </w:rPr>
        <w:t>5</w:t>
      </w:r>
      <w:r w:rsidRPr="00E56B11">
        <w:rPr>
          <w:sz w:val="28"/>
          <w:szCs w:val="28"/>
        </w:rPr>
        <w:t xml:space="preserve"> год, исходя из среднеквартального поступления налога в 202</w:t>
      </w:r>
      <w:r w:rsidR="00D910BC">
        <w:rPr>
          <w:sz w:val="28"/>
          <w:szCs w:val="28"/>
        </w:rPr>
        <w:t>4</w:t>
      </w:r>
      <w:r w:rsidRPr="00E56B11">
        <w:rPr>
          <w:sz w:val="28"/>
          <w:szCs w:val="28"/>
        </w:rPr>
        <w:t xml:space="preserve"> году (отчет по исполнению бюджета за 9 месяцев 202</w:t>
      </w:r>
      <w:r w:rsidR="00D910BC">
        <w:rPr>
          <w:sz w:val="28"/>
          <w:szCs w:val="28"/>
        </w:rPr>
        <w:t>4</w:t>
      </w:r>
      <w:r w:rsidRPr="00E56B11">
        <w:rPr>
          <w:sz w:val="28"/>
          <w:szCs w:val="28"/>
        </w:rPr>
        <w:t xml:space="preserve"> года) с учетом индекса-дефлятора продукции сельского хозяйства во всех категориях хозяйств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sz w:val="28"/>
          <w:szCs w:val="28"/>
        </w:rPr>
        <w:t>.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4. Налог на имущество физических лиц рассчитывается по следующей формуле:</w:t>
      </w:r>
    </w:p>
    <w:p w:rsidR="00E56B11" w:rsidRPr="00E56B11" w:rsidRDefault="00E56B11" w:rsidP="00E56B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6B11">
        <w:rPr>
          <w:sz w:val="28"/>
          <w:szCs w:val="28"/>
        </w:rPr>
        <w:t>Н</w:t>
      </w:r>
      <w:r w:rsidRPr="00E56B11">
        <w:rPr>
          <w:sz w:val="28"/>
          <w:szCs w:val="28"/>
          <w:vertAlign w:val="subscript"/>
        </w:rPr>
        <w:t>ИФЛ</w:t>
      </w:r>
      <w:r w:rsidRPr="00E56B11">
        <w:rPr>
          <w:sz w:val="28"/>
          <w:szCs w:val="28"/>
        </w:rPr>
        <w:t xml:space="preserve"> = Н x И, где:</w:t>
      </w:r>
    </w:p>
    <w:p w:rsidR="00E56B11" w:rsidRPr="00E56B11" w:rsidRDefault="00E56B11" w:rsidP="00E56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Н</w:t>
      </w:r>
      <w:r w:rsidRPr="00E56B11">
        <w:rPr>
          <w:sz w:val="28"/>
          <w:szCs w:val="28"/>
          <w:vertAlign w:val="subscript"/>
        </w:rPr>
        <w:t>ИФЛ</w:t>
      </w:r>
      <w:r w:rsidRPr="00E56B11">
        <w:rPr>
          <w:sz w:val="28"/>
          <w:szCs w:val="28"/>
        </w:rPr>
        <w:t xml:space="preserve"> – налог на имущество физических лиц;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Н – начисленная сумма налога за 202</w:t>
      </w:r>
      <w:r w:rsidR="00D910BC"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год (отчет Управления налоговой службы 5-МН за 202</w:t>
      </w:r>
      <w:r w:rsidR="00D910BC"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год);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И – и</w:t>
      </w:r>
      <w:r w:rsidRPr="00E56B11">
        <w:rPr>
          <w:snapToGrid w:val="0"/>
          <w:sz w:val="28"/>
          <w:szCs w:val="28"/>
        </w:rPr>
        <w:t>ндекс потребительских цен</w:t>
      </w:r>
      <w:r w:rsidRPr="00E56B11">
        <w:rPr>
          <w:sz w:val="28"/>
          <w:szCs w:val="28"/>
        </w:rPr>
        <w:t>;</w:t>
      </w: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>5. Земельный налог определен исходя из начисленной суммы налога за 201</w:t>
      </w:r>
      <w:r w:rsidR="00D910BC">
        <w:rPr>
          <w:sz w:val="28"/>
          <w:szCs w:val="28"/>
        </w:rPr>
        <w:t>2</w:t>
      </w:r>
      <w:r w:rsidRPr="00E56B11">
        <w:rPr>
          <w:sz w:val="28"/>
          <w:szCs w:val="28"/>
        </w:rPr>
        <w:t xml:space="preserve"> год на основании отчета УФНС 5-МН за 202</w:t>
      </w:r>
      <w:r w:rsidR="00D910BC">
        <w:rPr>
          <w:sz w:val="28"/>
          <w:szCs w:val="28"/>
        </w:rPr>
        <w:t>3</w:t>
      </w:r>
      <w:r w:rsidRPr="00E56B11">
        <w:rPr>
          <w:sz w:val="28"/>
          <w:szCs w:val="28"/>
        </w:rPr>
        <w:t xml:space="preserve"> г. </w:t>
      </w:r>
    </w:p>
    <w:p w:rsidR="00E56B11" w:rsidRPr="00E56B11" w:rsidRDefault="00E56B11" w:rsidP="00E56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 xml:space="preserve">6. Государственная пошлина </w:t>
      </w:r>
      <w:r w:rsidRPr="00E56B11">
        <w:rPr>
          <w:color w:val="000000"/>
          <w:sz w:val="28"/>
          <w:szCs w:val="28"/>
        </w:rPr>
        <w:t>планируется исходя из данных, полученных от главных администраторов доходов – администрации Каировского сельсовета.</w:t>
      </w:r>
    </w:p>
    <w:p w:rsidR="00E56B11" w:rsidRPr="00E56B11" w:rsidRDefault="00E56B11" w:rsidP="00E56B1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B11">
        <w:rPr>
          <w:sz w:val="28"/>
          <w:szCs w:val="28"/>
        </w:rPr>
        <w:t xml:space="preserve">7. Денежные взыскания (штрафы) за нарушение действующего законодательства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color w:val="000000"/>
          <w:sz w:val="28"/>
          <w:szCs w:val="28"/>
        </w:rPr>
        <w:t xml:space="preserve"> планируется исходя из данных, полученных от главных администраторов доходов – администрации Каировского сельсовета. </w:t>
      </w:r>
    </w:p>
    <w:p w:rsidR="00E56B11" w:rsidRPr="00E56B11" w:rsidRDefault="00E56B11" w:rsidP="00E56B1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lastRenderedPageBreak/>
        <w:t>8. Дотация на выравнивание бюджетной обеспеченности  сельских поселений муниципальных районов рассчитана Министерством Финансов Оренбургской области с учетом изменений, предусмотренных проектом Закона Оренбургской области «О внесении изменений в Закон Оренбургской области «</w:t>
      </w:r>
      <w:r w:rsidRPr="00E56B11">
        <w:rPr>
          <w:bCs/>
          <w:sz w:val="28"/>
          <w:szCs w:val="28"/>
          <w:lang w:eastAsia="en-US"/>
        </w:rPr>
        <w:t xml:space="preserve"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бюджета», </w:t>
      </w:r>
      <w:r w:rsidRPr="00E56B11">
        <w:rPr>
          <w:rFonts w:eastAsia="Calibri"/>
          <w:bCs/>
          <w:sz w:val="28"/>
          <w:szCs w:val="28"/>
          <w:lang w:eastAsia="en-US"/>
        </w:rPr>
        <w:t>по формуле: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jc w:val="center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 =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скор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. +Д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ком</w:t>
      </w:r>
      <w:r w:rsidRPr="00E56B11">
        <w:rPr>
          <w:rFonts w:eastAsia="Calibri"/>
          <w:bCs/>
          <w:sz w:val="28"/>
          <w:szCs w:val="28"/>
          <w:lang w:eastAsia="en-US"/>
        </w:rPr>
        <w:t>.,  где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>Д-  общий объем дотации на выравнивание бюджетной обеспеченности сельских поселений муниципального района;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скор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. - объем дотации на выравнивание бюджетной обеспеченности сельских поселений муниципального района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скорректированный на размер увеличения норматива зачисления в бюджеты сельских поселений налога на доходы физических лиц на 5% и равный объему соответствующей части субвенции на выполнение данного государственного полномочия, предусмотренного проектом областного бюджета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rFonts w:eastAsia="Calibri"/>
          <w:bCs/>
          <w:sz w:val="28"/>
          <w:szCs w:val="28"/>
          <w:lang w:eastAsia="en-US"/>
        </w:rPr>
        <w:t>;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ком.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– объем дотации на выравнивание бюджетной обеспеченности сельских поселений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rFonts w:eastAsia="Calibri"/>
          <w:bCs/>
          <w:sz w:val="28"/>
          <w:szCs w:val="28"/>
          <w:lang w:eastAsia="en-US"/>
        </w:rPr>
        <w:t>, компенсирующий снижение объема дотации, и равный объему соответствующей части субвенции на выполнение данного государственного полномочия, предусмотренного проектом областного бюджета на 202</w:t>
      </w:r>
      <w:r w:rsidR="00D910BC">
        <w:rPr>
          <w:rFonts w:eastAsia="Calibri"/>
          <w:bCs/>
          <w:sz w:val="28"/>
          <w:szCs w:val="28"/>
          <w:lang w:eastAsia="en-US"/>
        </w:rPr>
        <w:t>5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 сельским поселениям района.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Дотация на выравнивание бюджетной обеспеченности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- сельскому поселению Д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рассчитывается по следующей формуле: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jc w:val="center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>Д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=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расчет.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+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ком.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 , где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>Д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– объем дотации на выравнивание бюджетной обеспеченности 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>- сельскому поселению;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расчет.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- расчетный объем дотации на выравнивание бюджетной обеспеченности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>-сельского поселения, рассчитанного по Методике №3 к Закону «</w:t>
      </w:r>
      <w:r w:rsidRPr="00E56B11">
        <w:rPr>
          <w:bCs/>
          <w:sz w:val="28"/>
          <w:szCs w:val="28"/>
          <w:lang w:eastAsia="en-US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бюджета» при распределении общего скорректированного объема дотации  Д</w:t>
      </w:r>
      <w:r w:rsidRPr="00E56B11">
        <w:rPr>
          <w:bCs/>
          <w:sz w:val="28"/>
          <w:szCs w:val="28"/>
          <w:vertAlign w:val="subscript"/>
          <w:lang w:eastAsia="en-US"/>
        </w:rPr>
        <w:t>скор</w:t>
      </w:r>
      <w:r w:rsidRPr="00E56B11">
        <w:rPr>
          <w:bCs/>
          <w:sz w:val="28"/>
          <w:szCs w:val="28"/>
          <w:lang w:eastAsia="en-US"/>
        </w:rPr>
        <w:t>.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ком.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 - объем дотации на выравнивание бюджетной обеспеченности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val="en-US" w:eastAsia="en-US"/>
        </w:rPr>
        <w:lastRenderedPageBreak/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 сельского  поселения , компенсирующий снижение расчетного объема дотации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сельского поселения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 xml:space="preserve">расчет. 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к скорректированному объему дотации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сельского поселения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утв. скор.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.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Скорректированный объем дотации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>-сельского поселения рассчитывается  по формуле: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jc w:val="center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утв. скор.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= 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утв.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 -  ДД 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  ,    где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 </w:t>
      </w:r>
      <w:r w:rsidRPr="00E56B11">
        <w:rPr>
          <w:rFonts w:eastAsia="Calibri"/>
          <w:bCs/>
          <w:sz w:val="28"/>
          <w:szCs w:val="28"/>
          <w:vertAlign w:val="subscript"/>
          <w:lang w:eastAsia="en-US"/>
        </w:rPr>
        <w:t>утв.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- объем дотации 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>-сельского поселения на 2022 год, утвержденный решением Совета депутатов Саракташского района «О районном бюджете на 202</w:t>
      </w:r>
      <w:r w:rsidR="00D910BC">
        <w:rPr>
          <w:rFonts w:eastAsia="Calibri"/>
          <w:bCs/>
          <w:sz w:val="28"/>
          <w:szCs w:val="28"/>
          <w:lang w:eastAsia="en-US"/>
        </w:rPr>
        <w:t>5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год»</w:t>
      </w:r>
    </w:p>
    <w:p w:rsidR="00E56B11" w:rsidRPr="00E56B11" w:rsidRDefault="00E56B11" w:rsidP="00E56B11">
      <w:pPr>
        <w:tabs>
          <w:tab w:val="left" w:pos="567"/>
          <w:tab w:val="center" w:pos="4677"/>
        </w:tabs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ДД </w:t>
      </w:r>
      <w:r w:rsidRPr="00E56B11">
        <w:rPr>
          <w:rFonts w:eastAsia="Calibri"/>
          <w:bCs/>
          <w:sz w:val="28"/>
          <w:szCs w:val="28"/>
          <w:vertAlign w:val="subscript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-  дополнительные доходы  </w:t>
      </w:r>
      <w:r w:rsidRPr="00E56B11">
        <w:rPr>
          <w:rFonts w:eastAsia="Calibri"/>
          <w:bCs/>
          <w:sz w:val="28"/>
          <w:szCs w:val="28"/>
          <w:lang w:val="en-US" w:eastAsia="en-US"/>
        </w:rPr>
        <w:t>i</w:t>
      </w:r>
      <w:r w:rsidRPr="00E56B11">
        <w:rPr>
          <w:rFonts w:eastAsia="Calibri"/>
          <w:bCs/>
          <w:sz w:val="28"/>
          <w:szCs w:val="28"/>
          <w:lang w:eastAsia="en-US"/>
        </w:rPr>
        <w:t>-сельского поселения на 202</w:t>
      </w:r>
      <w:r w:rsidR="00D910BC">
        <w:rPr>
          <w:rFonts w:eastAsia="Calibri"/>
          <w:bCs/>
          <w:sz w:val="28"/>
          <w:szCs w:val="28"/>
          <w:lang w:eastAsia="en-US"/>
        </w:rPr>
        <w:t>4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 с учетом увеличения норматива зачисления в бюджеты сельских поселений налога на доходы физических лиц на 5 %.</w:t>
      </w:r>
    </w:p>
    <w:p w:rsidR="00E56B11" w:rsidRPr="00E56B11" w:rsidRDefault="00E56B11" w:rsidP="00E56B11">
      <w:pPr>
        <w:tabs>
          <w:tab w:val="left" w:pos="567"/>
          <w:tab w:val="center" w:pos="4677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E56B11" w:rsidRPr="00E56B11" w:rsidRDefault="00E56B11" w:rsidP="00E56B11">
      <w:pPr>
        <w:spacing w:before="20" w:after="40"/>
        <w:jc w:val="center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val="en-US" w:eastAsia="en-US"/>
        </w:rPr>
        <w:t>II</w:t>
      </w:r>
      <w:r w:rsidRPr="00E56B11">
        <w:rPr>
          <w:rFonts w:eastAsia="Calibri"/>
          <w:bCs/>
          <w:sz w:val="28"/>
          <w:szCs w:val="28"/>
          <w:lang w:eastAsia="en-US"/>
        </w:rPr>
        <w:t>. Планирование бюджетных ассигнований бюджета.</w:t>
      </w:r>
    </w:p>
    <w:p w:rsidR="00E56B11" w:rsidRPr="00E56B11" w:rsidRDefault="00E56B11" w:rsidP="00E56B11">
      <w:pPr>
        <w:widowControl w:val="0"/>
        <w:autoSpaceDE w:val="0"/>
        <w:autoSpaceDN w:val="0"/>
        <w:adjustRightInd w:val="0"/>
        <w:spacing w:after="40"/>
        <w:ind w:firstLine="851"/>
        <w:jc w:val="both"/>
        <w:rPr>
          <w:sz w:val="28"/>
          <w:szCs w:val="28"/>
        </w:rPr>
      </w:pPr>
    </w:p>
    <w:p w:rsidR="00E56B11" w:rsidRPr="00E56B11" w:rsidRDefault="00E56B11" w:rsidP="00E56B11">
      <w:pPr>
        <w:spacing w:after="40"/>
        <w:ind w:firstLine="851"/>
        <w:jc w:val="both"/>
        <w:rPr>
          <w:color w:val="000000"/>
          <w:sz w:val="28"/>
          <w:szCs w:val="22"/>
        </w:rPr>
      </w:pPr>
      <w:r w:rsidRPr="00E56B11">
        <w:rPr>
          <w:color w:val="000000"/>
          <w:sz w:val="28"/>
          <w:szCs w:val="22"/>
        </w:rPr>
        <w:t>1. Планирование бюджетных ассигнований производится в соответствии с расходными обязательствами МО Каировский сельсовет Саракташского района, исполнение которых осуществляется за счет средств бюджета, по бюджетным ассигнованиям на исполнение действующих и принимаемых расходных обязательств.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iCs/>
          <w:color w:val="000000"/>
          <w:sz w:val="28"/>
          <w:szCs w:val="28"/>
          <w:lang w:eastAsia="en-US"/>
        </w:rPr>
        <w:t>При формировании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главными распорядителями средств бюджета </w:t>
      </w:r>
      <w:r w:rsidRPr="00E56B11">
        <w:rPr>
          <w:rFonts w:eastAsia="Calibri"/>
          <w:iCs/>
          <w:color w:val="000000"/>
          <w:sz w:val="28"/>
          <w:szCs w:val="28"/>
          <w:lang w:eastAsia="en-US"/>
        </w:rPr>
        <w:t xml:space="preserve">бюджетных заявок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rFonts w:eastAsia="Calibri"/>
          <w:iCs/>
          <w:color w:val="000000"/>
          <w:sz w:val="28"/>
          <w:szCs w:val="28"/>
          <w:lang w:eastAsia="en-US"/>
        </w:rPr>
        <w:t>учитывается следующее: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- Объем расходных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определяется главными распорядителями средств бюджета с выделением ассигнований на исполнение действующих и принимаемых обязательств.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К действующим обязательствам относятся: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обеспечение выполнения муниципальных функций, предоставление (оплата) муниципальных услуг физическим и (или) юридическим лицам;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публичные нормативные обязательства, установленные нормативными правовыми актами, введенными в действие не позднее текущего года;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обязательства, вытекающие из муниципальных программ, сформированных на базе ранее действовавших  целевых программ;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обязательства, вытекающие из договоров (соглашений), действующих в планируемом периоде;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обеспечение выполнения муниципальных функций.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К принимаемым обязательствам относятся: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- бюджетные ассигнования на обеспечение выполнения муниципальных функций, предоставление муниципальных услуг  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физическим и (или) юридическим лицам в связи с расширением перечня муниципальных услуг;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увеличение действующих или введение новых видов публичных нормативных обязательств с очередного финансового года;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увеличение ассигнований на принятие новых муниципальных программ (за исключением программ, сформированных на базе ранее действовавших  целевых программ);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бюджетные ассигнования на со финансирование мероприятий в рамках областных программ.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Объем бюджетных ассигнований, необходимых для исполнения действующих и принимаемых расходных обязательств должен соответствовать плановому реестру расходных обязательств субъекта бюджетного планирования.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Вносимые главными  распорядителями средств бюджета бюджетные заявки должны быть подкреплены обоснованиями, подтверждены расчетами.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Отсутствие необходимой нормативной правовой базы для осуществления бюджетных расходов (за исключением расходов по муниципальным программам) является основанием для исключения (непринятия к рассмотрению) их из бюджетных заявок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На основании нормативных правовых актов, устанавливающих новые расходные обязательства, предоставляются расчеты на дополнительные ассигнования из бюджета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bookmarkStart w:id="3" w:name="Par526"/>
      <w:bookmarkEnd w:id="3"/>
      <w:r w:rsidRPr="00E56B11">
        <w:rPr>
          <w:rFonts w:eastAsia="Calibri"/>
          <w:bCs/>
          <w:color w:val="000000"/>
          <w:sz w:val="28"/>
          <w:szCs w:val="28"/>
          <w:lang w:eastAsia="en-US"/>
        </w:rPr>
        <w:t>2. Предельные объемы</w:t>
      </w:r>
      <w:r w:rsidRPr="00E56B11">
        <w:rPr>
          <w:rFonts w:eastAsia="Calibri"/>
          <w:sz w:val="28"/>
          <w:szCs w:val="28"/>
          <w:lang w:eastAsia="en-US"/>
        </w:rPr>
        <w:t xml:space="preserve"> бюджетных ассигнований 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на исполнение расходных обязательств  МО Каировский сельсовет Саракташского района </w:t>
      </w:r>
      <w:r w:rsidRPr="00E56B11">
        <w:rPr>
          <w:rFonts w:eastAsia="Calibri"/>
          <w:sz w:val="28"/>
          <w:szCs w:val="28"/>
          <w:lang w:eastAsia="en-US"/>
        </w:rPr>
        <w:t xml:space="preserve">для главных распорядителей средств бюджета определяются исходя из объемов бюджетных ассигнований, утвержденных решением Совета депутатов Каировского сельсовета 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«О бюджете муниципального образования Каировский сельсовет Саракташского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с последующими изменениями и дополнениями, </w:t>
      </w:r>
      <w:r w:rsidRPr="00E56B11">
        <w:rPr>
          <w:rFonts w:eastAsia="Calibri"/>
          <w:sz w:val="28"/>
          <w:szCs w:val="28"/>
          <w:lang w:eastAsia="en-US"/>
        </w:rPr>
        <w:t xml:space="preserve">с учетом </w:t>
      </w:r>
      <w:r w:rsidRPr="00E56B11">
        <w:rPr>
          <w:rFonts w:eastAsia="Calibri"/>
          <w:bCs/>
          <w:sz w:val="28"/>
          <w:szCs w:val="28"/>
          <w:lang w:eastAsia="en-US"/>
        </w:rPr>
        <w:t>реализации мероприятий, направленных на реализацию мер по оптимизации бюджетных расходов и отраслевых особенностей формирования бюджетных ассигнований.</w:t>
      </w: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 Показатели сводной бюджетной росписи корректируются: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с учетом расходов на выполнение публичных обязательств;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>- с учетом бюджетных ассигнований по расходным обязательствам, возникшим в результате структурных и организационных преобразований в установленных сферах деятельности.</w:t>
      </w:r>
    </w:p>
    <w:p w:rsidR="00E56B11" w:rsidRPr="00E56B11" w:rsidRDefault="00E56B11" w:rsidP="00E56B11">
      <w:pPr>
        <w:spacing w:before="20" w:after="20"/>
        <w:ind w:firstLine="851"/>
        <w:jc w:val="both"/>
        <w:rPr>
          <w:rFonts w:eastAsia="Calibri"/>
          <w:highlight w:val="yellow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3. Основные характеристики бюджета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формируются на основе программных и не программных направлений расходов.</w:t>
      </w:r>
    </w:p>
    <w:p w:rsidR="00E56B11" w:rsidRPr="00E56B11" w:rsidRDefault="00E56B11" w:rsidP="00E56B11">
      <w:pPr>
        <w:spacing w:before="20" w:after="4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56B11">
        <w:rPr>
          <w:rFonts w:eastAsia="Calibri"/>
          <w:sz w:val="28"/>
          <w:szCs w:val="28"/>
          <w:lang w:eastAsia="en-US"/>
        </w:rPr>
        <w:t>Не программные расходы планируются исходя из обеспечения расходных обязательств МО Каировский сельсовет Саракташского района, приоритетов развития и необходимости достижения результатов деятельности.</w:t>
      </w:r>
    </w:p>
    <w:p w:rsidR="00E56B11" w:rsidRPr="00E56B11" w:rsidRDefault="00E56B11" w:rsidP="00E56B11">
      <w:pPr>
        <w:spacing w:after="40"/>
        <w:ind w:firstLine="851"/>
        <w:jc w:val="both"/>
        <w:rPr>
          <w:sz w:val="28"/>
          <w:szCs w:val="28"/>
        </w:rPr>
      </w:pPr>
      <w:r w:rsidRPr="00E56B11">
        <w:rPr>
          <w:sz w:val="28"/>
          <w:szCs w:val="28"/>
        </w:rPr>
        <w:lastRenderedPageBreak/>
        <w:t xml:space="preserve">4. В предельных объемах бюджетных ассигнований учтены расходы, планируемые к реализации за счет средств бюджетов вышестоящих уровней в объемах, предусмотренных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 </w:t>
      </w:r>
      <w:r w:rsidRPr="00E56B11">
        <w:rPr>
          <w:sz w:val="28"/>
          <w:szCs w:val="28"/>
        </w:rPr>
        <w:t>проектом закона</w:t>
      </w:r>
      <w:r w:rsidRPr="00E56B11">
        <w:rPr>
          <w:sz w:val="28"/>
          <w:szCs w:val="22"/>
        </w:rPr>
        <w:t xml:space="preserve"> Оренбургской области «Об областном бюджете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sz w:val="28"/>
          <w:szCs w:val="22"/>
        </w:rPr>
        <w:t>»</w:t>
      </w:r>
      <w:r w:rsidRPr="00E56B11">
        <w:rPr>
          <w:sz w:val="28"/>
          <w:szCs w:val="28"/>
        </w:rPr>
        <w:t>.</w:t>
      </w:r>
    </w:p>
    <w:p w:rsidR="00E56B11" w:rsidRPr="00E56B11" w:rsidRDefault="00E56B11" w:rsidP="00E56B11">
      <w:pPr>
        <w:spacing w:before="20" w:after="20"/>
        <w:ind w:firstLine="700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>5. Основными направлениями оптимизации расходов бюджета является сокращение расходов на закупку товаров, работ и услуг для муниципальных нужд.</w:t>
      </w:r>
    </w:p>
    <w:p w:rsidR="00E56B11" w:rsidRPr="00E56B11" w:rsidRDefault="00E56B11" w:rsidP="00E56B11">
      <w:pPr>
        <w:spacing w:after="40"/>
        <w:ind w:firstLine="851"/>
        <w:jc w:val="both"/>
        <w:rPr>
          <w:sz w:val="28"/>
          <w:szCs w:val="28"/>
        </w:rPr>
      </w:pPr>
      <w:r w:rsidRPr="00E56B11">
        <w:rPr>
          <w:sz w:val="28"/>
          <w:szCs w:val="28"/>
        </w:rPr>
        <w:t xml:space="preserve">6. Учитывая, что основным направлением расходов бюджета является оптимизация расходов и  отсутствие возможностей для наращивания общего объема расходов бюджета, </w:t>
      </w:r>
      <w:r w:rsidRPr="00E56B11">
        <w:rPr>
          <w:bCs/>
          <w:iCs/>
          <w:sz w:val="28"/>
          <w:szCs w:val="28"/>
        </w:rPr>
        <w:t>администрация МО Каировский сельсовет, распределяя предельные объемы бюджетных ассигнований,</w:t>
      </w:r>
      <w:r w:rsidRPr="00E56B11">
        <w:rPr>
          <w:sz w:val="28"/>
          <w:szCs w:val="28"/>
        </w:rPr>
        <w:t xml:space="preserve"> самостоятельно осуществляет планирование бюджетных ассигнований исходя из приоритета вышеуказанных направлений.</w:t>
      </w:r>
    </w:p>
    <w:p w:rsidR="00E56B11" w:rsidRPr="00E56B11" w:rsidRDefault="00E56B11" w:rsidP="00E56B11">
      <w:pPr>
        <w:spacing w:after="40"/>
        <w:ind w:firstLine="851"/>
        <w:jc w:val="both"/>
        <w:rPr>
          <w:color w:val="000000"/>
          <w:sz w:val="28"/>
          <w:szCs w:val="22"/>
        </w:rPr>
      </w:pPr>
      <w:r w:rsidRPr="00E56B11">
        <w:rPr>
          <w:color w:val="000000"/>
          <w:sz w:val="28"/>
          <w:szCs w:val="22"/>
        </w:rPr>
        <w:t xml:space="preserve">7. Предельные объемы бюджетных ассигнований на исполнение расходных обязательств МО Каировский сельсовет Саракташского района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color w:val="000000"/>
          <w:sz w:val="28"/>
          <w:szCs w:val="22"/>
        </w:rPr>
        <w:t xml:space="preserve"> определяется исходя из единых для всех субъектов бюджетного планирования подходов к формированию расходов бюджета с учетом следующих особенностей:</w:t>
      </w:r>
    </w:p>
    <w:p w:rsidR="00E56B11" w:rsidRPr="00E56B11" w:rsidRDefault="00E56B11" w:rsidP="00E56B11">
      <w:pPr>
        <w:spacing w:after="40"/>
        <w:ind w:firstLine="851"/>
        <w:jc w:val="both"/>
        <w:rPr>
          <w:color w:val="000000"/>
          <w:sz w:val="28"/>
          <w:szCs w:val="22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8"/>
      </w:tblGrid>
      <w:tr w:rsidR="00E56B11" w:rsidRPr="00E56B11" w:rsidTr="00F246AD">
        <w:trPr>
          <w:trHeight w:val="978"/>
          <w:tblHeader/>
        </w:trPr>
        <w:tc>
          <w:tcPr>
            <w:tcW w:w="5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center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 xml:space="preserve">Направление </w:t>
            </w:r>
          </w:p>
          <w:p w:rsidR="00E56B11" w:rsidRPr="00E56B11" w:rsidRDefault="00E56B11" w:rsidP="00E56B11">
            <w:pPr>
              <w:spacing w:after="40"/>
              <w:jc w:val="center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>расходов  бюджета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center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>Формирование расходов бюджета</w:t>
            </w:r>
          </w:p>
        </w:tc>
      </w:tr>
    </w:tbl>
    <w:p w:rsidR="00E56B11" w:rsidRPr="00E56B11" w:rsidRDefault="00E56B11" w:rsidP="00E56B11">
      <w:pPr>
        <w:spacing w:before="20" w:after="40"/>
        <w:jc w:val="center"/>
        <w:rPr>
          <w:rFonts w:eastAsia="Calibri"/>
          <w:bCs/>
          <w:sz w:val="2"/>
          <w:szCs w:val="2"/>
          <w:lang w:eastAsia="en-US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8"/>
      </w:tblGrid>
      <w:tr w:rsidR="00E56B11" w:rsidRPr="00E56B11" w:rsidTr="00F246AD">
        <w:trPr>
          <w:trHeight w:val="140"/>
          <w:tblHeader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center"/>
              <w:rPr>
                <w:sz w:val="28"/>
                <w:szCs w:val="22"/>
              </w:rPr>
            </w:pPr>
            <w:r w:rsidRPr="00E56B11">
              <w:rPr>
                <w:sz w:val="28"/>
                <w:szCs w:val="22"/>
              </w:rPr>
              <w:t>1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center"/>
              <w:rPr>
                <w:sz w:val="28"/>
                <w:szCs w:val="22"/>
              </w:rPr>
            </w:pPr>
            <w:r w:rsidRPr="00E56B11">
              <w:rPr>
                <w:sz w:val="28"/>
                <w:szCs w:val="22"/>
              </w:rPr>
              <w:t>2</w:t>
            </w:r>
          </w:p>
        </w:tc>
      </w:tr>
      <w:tr w:rsidR="00E56B11" w:rsidRPr="00E56B11" w:rsidTr="00F246AD">
        <w:trPr>
          <w:trHeight w:val="20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both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 xml:space="preserve">1.Оплата труда работников органов местного самоуправления 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542D87" w:rsidRDefault="00E56B11" w:rsidP="00E56B11">
            <w:pPr>
              <w:spacing w:before="20" w:after="20"/>
              <w:ind w:firstLine="30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42D8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Расходы планируются исходя из предельной численности работников органов местного самоуправления, утвержденной нормативными актами МО Каировский сельсовет Саракташского района, и условий оплаты труда, </w:t>
            </w:r>
            <w:r w:rsidRPr="00542D87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установленных решением Совета депутатов Каировский сельсовет от 22.10.2021  № 51</w:t>
            </w:r>
            <w:r w:rsidRPr="00542D87">
              <w:rPr>
                <w:rFonts w:eastAsia="Calibri"/>
                <w:bCs/>
                <w:sz w:val="28"/>
                <w:szCs w:val="28"/>
                <w:lang w:eastAsia="en-US"/>
              </w:rPr>
              <w:t>. При расчете фонда опла</w:t>
            </w:r>
            <w:r w:rsidRPr="00542D8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ты труда учитывается также необходимость планирования с</w:t>
            </w:r>
            <w:r w:rsidRPr="00542D87">
              <w:rPr>
                <w:rFonts w:eastAsia="Calibri"/>
                <w:bCs/>
                <w:sz w:val="28"/>
                <w:szCs w:val="28"/>
                <w:lang w:eastAsia="en-US"/>
              </w:rPr>
              <w:t>редств на</w:t>
            </w:r>
            <w:r w:rsidRPr="00542D87">
              <w:rPr>
                <w:rFonts w:eastAsia="Calibri"/>
                <w:sz w:val="28"/>
                <w:szCs w:val="28"/>
              </w:rPr>
              <w:t xml:space="preserve">обеспечение выплаты уральского коэффициента сверх минимального размера оплаты труда, </w:t>
            </w:r>
            <w:r w:rsidRPr="00542D8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экономия в связи с выплатой пособий по временной нетрудоспособности и наличия вакантных должностей, уплата страховых взносов в </w:t>
            </w:r>
            <w:r w:rsidRPr="00542D8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государственные внебюджетные фонды в размере 30,2 процента.</w:t>
            </w:r>
          </w:p>
          <w:p w:rsidR="00E56B11" w:rsidRPr="00542D87" w:rsidRDefault="00E56B11" w:rsidP="00E56B11">
            <w:pPr>
              <w:spacing w:before="20" w:after="20"/>
              <w:ind w:firstLine="30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6B11" w:rsidRPr="00E56B11" w:rsidTr="00F246AD">
        <w:trPr>
          <w:trHeight w:val="20"/>
        </w:trPr>
        <w:tc>
          <w:tcPr>
            <w:tcW w:w="5104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spacing w:after="40"/>
              <w:jc w:val="both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lastRenderedPageBreak/>
              <w:t>2. Формирование резервного фонда администрации МО Каировский сельсовет Саракташского района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964309">
            <w:pPr>
              <w:spacing w:after="40"/>
              <w:jc w:val="both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 xml:space="preserve">Расходы планируются исходя из утвержденных ассигнований </w:t>
            </w:r>
            <w:r w:rsidR="00D910BC" w:rsidRPr="00E56B11">
              <w:rPr>
                <w:sz w:val="28"/>
                <w:szCs w:val="28"/>
              </w:rPr>
              <w:t>на 202</w:t>
            </w:r>
            <w:r w:rsidR="00D910BC">
              <w:rPr>
                <w:sz w:val="28"/>
                <w:szCs w:val="28"/>
              </w:rPr>
              <w:t>5</w:t>
            </w:r>
            <w:r w:rsidR="00D910BC" w:rsidRPr="00E56B11">
              <w:rPr>
                <w:sz w:val="28"/>
                <w:szCs w:val="28"/>
              </w:rPr>
              <w:t xml:space="preserve"> год и плановый период 202</w:t>
            </w:r>
            <w:r w:rsidR="00D910BC">
              <w:rPr>
                <w:sz w:val="28"/>
                <w:szCs w:val="28"/>
              </w:rPr>
              <w:t>6</w:t>
            </w:r>
            <w:r w:rsidR="00D910BC" w:rsidRPr="00E56B11">
              <w:rPr>
                <w:sz w:val="28"/>
                <w:szCs w:val="28"/>
              </w:rPr>
              <w:t xml:space="preserve"> и 202</w:t>
            </w:r>
            <w:r w:rsidR="00D910BC">
              <w:rPr>
                <w:sz w:val="28"/>
                <w:szCs w:val="28"/>
              </w:rPr>
              <w:t>4</w:t>
            </w:r>
            <w:r w:rsidR="00D910BC" w:rsidRPr="00E56B11">
              <w:rPr>
                <w:sz w:val="28"/>
                <w:szCs w:val="28"/>
              </w:rPr>
              <w:t xml:space="preserve"> годов</w:t>
            </w:r>
          </w:p>
        </w:tc>
      </w:tr>
      <w:tr w:rsidR="00E56B11" w:rsidRPr="00E56B11" w:rsidTr="00F246AD">
        <w:trPr>
          <w:trHeight w:val="3282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widowControl w:val="0"/>
              <w:spacing w:before="20" w:after="4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E56B1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3.Расходы на исполнение государственных </w:t>
            </w:r>
            <w:r w:rsidR="00D910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полномочий</w:t>
            </w:r>
            <w:r w:rsidRPr="00E56B1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по</w:t>
            </w:r>
            <w:r w:rsidRPr="00E56B11">
              <w:rPr>
                <w:rFonts w:eastAsia="Calibri"/>
                <w:bCs/>
                <w:sz w:val="28"/>
                <w:szCs w:val="28"/>
                <w:lang w:eastAsia="en-US"/>
              </w:rPr>
              <w:t>:</w:t>
            </w:r>
          </w:p>
          <w:p w:rsidR="00E56B11" w:rsidRPr="00E56B11" w:rsidRDefault="00E56B11" w:rsidP="00E56B11">
            <w:pPr>
              <w:spacing w:before="20" w:after="4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56B1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осуществлению первичного воинского учета на территориях, где отсутствуют военные комиссариаты, </w:t>
            </w:r>
          </w:p>
          <w:p w:rsidR="00E56B11" w:rsidRPr="00E56B11" w:rsidRDefault="00E56B11" w:rsidP="00E56B11">
            <w:pPr>
              <w:spacing w:before="20" w:after="2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56B11" w:rsidRPr="00E56B11" w:rsidRDefault="00E56B11" w:rsidP="00E56B11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sz w:val="28"/>
                <w:szCs w:val="28"/>
              </w:rPr>
            </w:pPr>
            <w:r w:rsidRPr="00E56B11">
              <w:rPr>
                <w:sz w:val="28"/>
                <w:szCs w:val="28"/>
              </w:rPr>
              <w:t xml:space="preserve">Расходы планируются в объеме, спрогнозированном проектом закона  Оренбургской области «Об областном бюджете </w:t>
            </w:r>
            <w:r w:rsidR="00D910BC" w:rsidRPr="00E56B11">
              <w:rPr>
                <w:sz w:val="28"/>
                <w:szCs w:val="28"/>
              </w:rPr>
              <w:t>на 202</w:t>
            </w:r>
            <w:r w:rsidR="00D910BC">
              <w:rPr>
                <w:sz w:val="28"/>
                <w:szCs w:val="28"/>
              </w:rPr>
              <w:t>5</w:t>
            </w:r>
            <w:r w:rsidR="00D910BC" w:rsidRPr="00E56B11">
              <w:rPr>
                <w:sz w:val="28"/>
                <w:szCs w:val="28"/>
              </w:rPr>
              <w:t xml:space="preserve"> год и плановый период 202</w:t>
            </w:r>
            <w:r w:rsidR="00D910BC">
              <w:rPr>
                <w:sz w:val="28"/>
                <w:szCs w:val="28"/>
              </w:rPr>
              <w:t>6</w:t>
            </w:r>
            <w:r w:rsidR="00D910BC" w:rsidRPr="00E56B11">
              <w:rPr>
                <w:sz w:val="28"/>
                <w:szCs w:val="28"/>
              </w:rPr>
              <w:t xml:space="preserve"> и 202</w:t>
            </w:r>
            <w:r w:rsidR="00D910BC">
              <w:rPr>
                <w:sz w:val="28"/>
                <w:szCs w:val="28"/>
              </w:rPr>
              <w:t>4</w:t>
            </w:r>
            <w:r w:rsidR="00D910BC" w:rsidRPr="00E56B11">
              <w:rPr>
                <w:sz w:val="28"/>
                <w:szCs w:val="28"/>
              </w:rPr>
              <w:t xml:space="preserve"> годов</w:t>
            </w:r>
            <w:r w:rsidRPr="00E56B11">
              <w:rPr>
                <w:sz w:val="28"/>
                <w:szCs w:val="28"/>
              </w:rPr>
              <w:t>» в соответствии с методиками расчета  субвенций и расчетами главных распорядителей средств областного бюджета, соответственно, курирующими данные полномочия.</w:t>
            </w:r>
          </w:p>
          <w:p w:rsidR="00E56B11" w:rsidRPr="00E56B11" w:rsidRDefault="00E56B11" w:rsidP="00E56B11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56B11" w:rsidRPr="00E56B11" w:rsidRDefault="00E56B11" w:rsidP="00E56B11">
      <w:pPr>
        <w:widowControl w:val="0"/>
        <w:autoSpaceDE w:val="0"/>
        <w:autoSpaceDN w:val="0"/>
        <w:adjustRightInd w:val="0"/>
        <w:spacing w:before="20" w:after="40"/>
        <w:ind w:firstLine="54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56B11" w:rsidRPr="00E56B11" w:rsidRDefault="00E56B11" w:rsidP="00E56B11">
      <w:pPr>
        <w:spacing w:before="20" w:after="4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sz w:val="28"/>
          <w:szCs w:val="28"/>
          <w:lang w:eastAsia="en-US"/>
        </w:rPr>
        <w:t xml:space="preserve">8. Рост цен и тарифов на жилищно-коммунальные услуги учитывается в соответствии со сценарными условиями и основными параметрами прогноза социально-экономического развития Российской Федерации и предельными уровнями тарифов на услуги компаний инфраструктурного сектора </w:t>
      </w:r>
      <w:r w:rsidR="00D910BC" w:rsidRPr="00E56B11">
        <w:rPr>
          <w:sz w:val="28"/>
          <w:szCs w:val="28"/>
        </w:rPr>
        <w:t>на 202</w:t>
      </w:r>
      <w:r w:rsidR="00D910BC">
        <w:rPr>
          <w:sz w:val="28"/>
          <w:szCs w:val="28"/>
        </w:rPr>
        <w:t>5</w:t>
      </w:r>
      <w:r w:rsidR="00D910BC" w:rsidRPr="00E56B11">
        <w:rPr>
          <w:sz w:val="28"/>
          <w:szCs w:val="28"/>
        </w:rPr>
        <w:t xml:space="preserve"> год и плановый период 202</w:t>
      </w:r>
      <w:r w:rsidR="00D910BC">
        <w:rPr>
          <w:sz w:val="28"/>
          <w:szCs w:val="28"/>
        </w:rPr>
        <w:t>6</w:t>
      </w:r>
      <w:r w:rsidR="00D910BC" w:rsidRPr="00E56B11">
        <w:rPr>
          <w:sz w:val="28"/>
          <w:szCs w:val="28"/>
        </w:rPr>
        <w:t xml:space="preserve"> и 202</w:t>
      </w:r>
      <w:r w:rsidR="00D910BC">
        <w:rPr>
          <w:sz w:val="28"/>
          <w:szCs w:val="28"/>
        </w:rPr>
        <w:t>4</w:t>
      </w:r>
      <w:r w:rsidR="00D910BC" w:rsidRPr="00E56B11">
        <w:rPr>
          <w:sz w:val="28"/>
          <w:szCs w:val="28"/>
        </w:rPr>
        <w:t xml:space="preserve"> годов</w:t>
      </w:r>
      <w:r w:rsidRPr="00E56B11">
        <w:rPr>
          <w:rFonts w:eastAsia="Calibri"/>
          <w:bCs/>
          <w:sz w:val="28"/>
          <w:szCs w:val="28"/>
          <w:lang w:eastAsia="en-US"/>
        </w:rPr>
        <w:t>.</w:t>
      </w:r>
    </w:p>
    <w:p w:rsidR="00E56B11" w:rsidRPr="00E56B11" w:rsidRDefault="00E56B11" w:rsidP="00E56B11">
      <w:pPr>
        <w:spacing w:before="20" w:after="4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56B11">
        <w:rPr>
          <w:rFonts w:eastAsia="Calibri"/>
          <w:bCs/>
          <w:color w:val="000000"/>
          <w:sz w:val="28"/>
          <w:szCs w:val="28"/>
          <w:lang w:eastAsia="en-US"/>
        </w:rPr>
        <w:t xml:space="preserve">9. </w:t>
      </w:r>
      <w:r w:rsidRPr="00E56B11">
        <w:rPr>
          <w:rFonts w:eastAsia="Calibri"/>
          <w:bCs/>
          <w:sz w:val="28"/>
          <w:szCs w:val="28"/>
          <w:lang w:eastAsia="en-US"/>
        </w:rPr>
        <w:t>Общий объем расходов бюджета формируется с учетом коэффициента прогнозируемого темпа роста собственных доходных источников относительно аналогичных первоначальных показателей 202</w:t>
      </w:r>
      <w:r w:rsidR="00D910BC">
        <w:rPr>
          <w:rFonts w:eastAsia="Calibri"/>
          <w:bCs/>
          <w:sz w:val="28"/>
          <w:szCs w:val="28"/>
          <w:lang w:eastAsia="en-US"/>
        </w:rPr>
        <w:t>4</w:t>
      </w:r>
      <w:r w:rsidRPr="00E56B11">
        <w:rPr>
          <w:rFonts w:eastAsia="Calibri"/>
          <w:bCs/>
          <w:sz w:val="28"/>
          <w:szCs w:val="28"/>
          <w:lang w:eastAsia="en-US"/>
        </w:rPr>
        <w:t xml:space="preserve"> года и сбалансированности бюджета.</w:t>
      </w:r>
    </w:p>
    <w:p w:rsidR="004D077C" w:rsidRDefault="004D077C" w:rsidP="004D077C">
      <w:pPr>
        <w:ind w:left="900" w:right="-906"/>
        <w:jc w:val="right"/>
      </w:pPr>
    </w:p>
    <w:sectPr w:rsidR="004D077C" w:rsidSect="00E86D5A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71" w:rsidRDefault="00AB3571" w:rsidP="001351C9">
      <w:r>
        <w:separator/>
      </w:r>
    </w:p>
  </w:endnote>
  <w:endnote w:type="continuationSeparator" w:id="1">
    <w:p w:rsidR="00AB3571" w:rsidRDefault="00AB3571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AB3571">
    <w:pPr>
      <w:pStyle w:val="ab"/>
      <w:framePr w:wrap="auto" w:vAnchor="text" w:hAnchor="margin" w:xAlign="right" w:y="1"/>
      <w:rPr>
        <w:rStyle w:val="ad"/>
      </w:rPr>
    </w:pPr>
  </w:p>
  <w:p w:rsidR="00BF74A8" w:rsidRDefault="00AB357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71" w:rsidRDefault="00AB3571" w:rsidP="001351C9">
      <w:r>
        <w:separator/>
      </w:r>
    </w:p>
  </w:footnote>
  <w:footnote w:type="continuationSeparator" w:id="1">
    <w:p w:rsidR="00AB3571" w:rsidRDefault="00AB3571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410867"/>
      <w:docPartObj>
        <w:docPartGallery w:val="Page Numbers (Top of Page)"/>
        <w:docPartUnique/>
      </w:docPartObj>
    </w:sdtPr>
    <w:sdtContent>
      <w:p w:rsidR="00BF74A8" w:rsidRDefault="00E86D5A" w:rsidP="00E86D5A">
        <w:pPr>
          <w:pStyle w:val="a6"/>
          <w:jc w:val="center"/>
        </w:pPr>
        <w:fldSimple w:instr=" PAGE   \* MERGEFORMAT ">
          <w:r w:rsidR="00F92AE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920775"/>
    <w:multiLevelType w:val="hybridMultilevel"/>
    <w:tmpl w:val="ACCCB5A2"/>
    <w:lvl w:ilvl="0" w:tplc="921A88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67B5C"/>
    <w:rsid w:val="00070456"/>
    <w:rsid w:val="00072E6E"/>
    <w:rsid w:val="00095D09"/>
    <w:rsid w:val="000B2191"/>
    <w:rsid w:val="000F571E"/>
    <w:rsid w:val="00125961"/>
    <w:rsid w:val="00126D28"/>
    <w:rsid w:val="001351C9"/>
    <w:rsid w:val="00166508"/>
    <w:rsid w:val="00195F7B"/>
    <w:rsid w:val="001A6819"/>
    <w:rsid w:val="001E1012"/>
    <w:rsid w:val="00201A19"/>
    <w:rsid w:val="0020255D"/>
    <w:rsid w:val="002239AE"/>
    <w:rsid w:val="0022708D"/>
    <w:rsid w:val="00240569"/>
    <w:rsid w:val="00250065"/>
    <w:rsid w:val="00275D2D"/>
    <w:rsid w:val="002763B5"/>
    <w:rsid w:val="00296A80"/>
    <w:rsid w:val="002B1FA7"/>
    <w:rsid w:val="002E54EA"/>
    <w:rsid w:val="002F2696"/>
    <w:rsid w:val="002F2A54"/>
    <w:rsid w:val="0035417F"/>
    <w:rsid w:val="003A5EC9"/>
    <w:rsid w:val="003E1D87"/>
    <w:rsid w:val="003E2BB4"/>
    <w:rsid w:val="003E354B"/>
    <w:rsid w:val="0042151D"/>
    <w:rsid w:val="00432AF8"/>
    <w:rsid w:val="0045033B"/>
    <w:rsid w:val="00450A8D"/>
    <w:rsid w:val="004636A2"/>
    <w:rsid w:val="00481D13"/>
    <w:rsid w:val="004D077C"/>
    <w:rsid w:val="005008F1"/>
    <w:rsid w:val="00501057"/>
    <w:rsid w:val="005139BC"/>
    <w:rsid w:val="00535194"/>
    <w:rsid w:val="00535542"/>
    <w:rsid w:val="00542D87"/>
    <w:rsid w:val="00546394"/>
    <w:rsid w:val="00551719"/>
    <w:rsid w:val="00553FEB"/>
    <w:rsid w:val="00557F4F"/>
    <w:rsid w:val="005844B9"/>
    <w:rsid w:val="005A4FDF"/>
    <w:rsid w:val="005B3386"/>
    <w:rsid w:val="005D19BA"/>
    <w:rsid w:val="005E1CD2"/>
    <w:rsid w:val="005E6ED3"/>
    <w:rsid w:val="005E7400"/>
    <w:rsid w:val="005E7441"/>
    <w:rsid w:val="00630024"/>
    <w:rsid w:val="0063085C"/>
    <w:rsid w:val="006607F3"/>
    <w:rsid w:val="00674CA7"/>
    <w:rsid w:val="00677C48"/>
    <w:rsid w:val="00683DB5"/>
    <w:rsid w:val="006939D2"/>
    <w:rsid w:val="006E59B9"/>
    <w:rsid w:val="00701F96"/>
    <w:rsid w:val="007020C2"/>
    <w:rsid w:val="00737C28"/>
    <w:rsid w:val="0076711F"/>
    <w:rsid w:val="00774A36"/>
    <w:rsid w:val="00784099"/>
    <w:rsid w:val="007850AE"/>
    <w:rsid w:val="00792BFA"/>
    <w:rsid w:val="007C0E9C"/>
    <w:rsid w:val="007C20DF"/>
    <w:rsid w:val="007C6C03"/>
    <w:rsid w:val="007F38D3"/>
    <w:rsid w:val="007F499E"/>
    <w:rsid w:val="007F72AD"/>
    <w:rsid w:val="008049F5"/>
    <w:rsid w:val="00805D0E"/>
    <w:rsid w:val="00831F50"/>
    <w:rsid w:val="00861CB7"/>
    <w:rsid w:val="00864C4E"/>
    <w:rsid w:val="00880729"/>
    <w:rsid w:val="00891458"/>
    <w:rsid w:val="00894A50"/>
    <w:rsid w:val="00895591"/>
    <w:rsid w:val="008A0B8F"/>
    <w:rsid w:val="008B050A"/>
    <w:rsid w:val="008C0006"/>
    <w:rsid w:val="008C001C"/>
    <w:rsid w:val="008C5EA8"/>
    <w:rsid w:val="008F299B"/>
    <w:rsid w:val="00917CBC"/>
    <w:rsid w:val="00926A95"/>
    <w:rsid w:val="009323DD"/>
    <w:rsid w:val="00933CB4"/>
    <w:rsid w:val="00940CC5"/>
    <w:rsid w:val="00964309"/>
    <w:rsid w:val="0096530E"/>
    <w:rsid w:val="009718A7"/>
    <w:rsid w:val="00980247"/>
    <w:rsid w:val="00981850"/>
    <w:rsid w:val="0099201D"/>
    <w:rsid w:val="009A1C7A"/>
    <w:rsid w:val="009D3E92"/>
    <w:rsid w:val="009D7951"/>
    <w:rsid w:val="009F71B1"/>
    <w:rsid w:val="00A96B76"/>
    <w:rsid w:val="00AB3571"/>
    <w:rsid w:val="00AC6243"/>
    <w:rsid w:val="00AC6294"/>
    <w:rsid w:val="00AD7F4D"/>
    <w:rsid w:val="00AE10C0"/>
    <w:rsid w:val="00AF4AA6"/>
    <w:rsid w:val="00B1093A"/>
    <w:rsid w:val="00B35EEE"/>
    <w:rsid w:val="00B46CF7"/>
    <w:rsid w:val="00B65538"/>
    <w:rsid w:val="00B73568"/>
    <w:rsid w:val="00BA3DAB"/>
    <w:rsid w:val="00BC7BA0"/>
    <w:rsid w:val="00BF371A"/>
    <w:rsid w:val="00BF6EAB"/>
    <w:rsid w:val="00C65E34"/>
    <w:rsid w:val="00C77B9F"/>
    <w:rsid w:val="00CB6274"/>
    <w:rsid w:val="00CE276A"/>
    <w:rsid w:val="00CF0241"/>
    <w:rsid w:val="00CF2ECA"/>
    <w:rsid w:val="00D127BB"/>
    <w:rsid w:val="00D33A7A"/>
    <w:rsid w:val="00D36BFB"/>
    <w:rsid w:val="00D42B08"/>
    <w:rsid w:val="00D5579B"/>
    <w:rsid w:val="00D80ED9"/>
    <w:rsid w:val="00D910BC"/>
    <w:rsid w:val="00DC70E8"/>
    <w:rsid w:val="00DD2811"/>
    <w:rsid w:val="00DD6F20"/>
    <w:rsid w:val="00E0009A"/>
    <w:rsid w:val="00E0361A"/>
    <w:rsid w:val="00E3009B"/>
    <w:rsid w:val="00E5479D"/>
    <w:rsid w:val="00E56B11"/>
    <w:rsid w:val="00E6552D"/>
    <w:rsid w:val="00E71E38"/>
    <w:rsid w:val="00E822FB"/>
    <w:rsid w:val="00E86D5A"/>
    <w:rsid w:val="00E903AA"/>
    <w:rsid w:val="00E92DB8"/>
    <w:rsid w:val="00E97768"/>
    <w:rsid w:val="00EA068C"/>
    <w:rsid w:val="00EC1243"/>
    <w:rsid w:val="00EF379E"/>
    <w:rsid w:val="00F11C8E"/>
    <w:rsid w:val="00F47AC2"/>
    <w:rsid w:val="00F92606"/>
    <w:rsid w:val="00F9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customStyle="1" w:styleId="ConsNormal">
    <w:name w:val="ConsNormal"/>
    <w:rsid w:val="0045033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3">
    <w:name w:val="Strong"/>
    <w:uiPriority w:val="22"/>
    <w:qFormat/>
    <w:locked/>
    <w:rsid w:val="0045033B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432A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2A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F6B44-AC3D-465B-AA2D-408BD757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2019-11-15T05:32:00Z</cp:lastPrinted>
  <dcterms:created xsi:type="dcterms:W3CDTF">2019-11-15T06:00:00Z</dcterms:created>
  <dcterms:modified xsi:type="dcterms:W3CDTF">2024-11-21T12:14:00Z</dcterms:modified>
</cp:coreProperties>
</file>